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9E52F" w14:textId="3C76E747" w:rsidR="0083695B" w:rsidRDefault="00461252" w:rsidP="0046125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PROPOSICIÓN </w:t>
      </w:r>
    </w:p>
    <w:p w14:paraId="389354A0" w14:textId="24A2ADFD" w:rsidR="00461252" w:rsidRDefault="00461252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proofErr w:type="spellStart"/>
      <w:r w:rsidRPr="00426BD8">
        <w:rPr>
          <w:rFonts w:ascii="Times New Roman" w:eastAsia="Times New Roman" w:hAnsi="Times New Roman" w:cs="Times New Roman"/>
          <w:color w:val="000000"/>
          <w:lang w:val="es-CO"/>
        </w:rPr>
        <w:t>Agreguese</w:t>
      </w:r>
      <w:proofErr w:type="spellEnd"/>
      <w:r w:rsidRPr="00426BD8">
        <w:rPr>
          <w:rFonts w:ascii="Times New Roman" w:eastAsia="Times New Roman" w:hAnsi="Times New Roman" w:cs="Times New Roman"/>
          <w:color w:val="000000"/>
          <w:lang w:val="es-CO"/>
        </w:rPr>
        <w:t xml:space="preserve"> un parágrafo transitorio al artículo 10 del </w:t>
      </w: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Proyecto de Ley estatutaria </w:t>
      </w:r>
      <w:r w:rsidR="004017F7" w:rsidRPr="004017F7"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NÚMERO 314 DE 2019 CÁMARA Y 062 DE 2019 SENADO </w:t>
      </w:r>
      <w:r w:rsidR="004017F7" w:rsidRPr="00426BD8">
        <w:rPr>
          <w:rFonts w:ascii="Times New Roman" w:eastAsia="Times New Roman" w:hAnsi="Times New Roman" w:cs="Times New Roman"/>
          <w:i/>
          <w:iCs/>
          <w:color w:val="000000"/>
          <w:lang w:val="es-CO"/>
        </w:rPr>
        <w:t>“Por medio de la cual se modifica y adiciona la Ley Estatutaria 1266 de 2008, y se dictan disposiciones generales del habeas data con relación a la información financiera, crediticia, comercial, de servicios y la proveniente de terceros países y se dictan otras disposiciones”</w:t>
      </w:r>
      <w:r w:rsidR="00426BD8">
        <w:rPr>
          <w:rFonts w:ascii="Times New Roman" w:eastAsia="Times New Roman" w:hAnsi="Times New Roman" w:cs="Times New Roman"/>
          <w:i/>
          <w:iCs/>
          <w:color w:val="000000"/>
          <w:lang w:val="es-CO"/>
        </w:rPr>
        <w:t xml:space="preserve"> </w:t>
      </w:r>
      <w:r w:rsidR="00426BD8">
        <w:rPr>
          <w:rFonts w:ascii="Times New Roman" w:eastAsia="Times New Roman" w:hAnsi="Times New Roman" w:cs="Times New Roman"/>
          <w:color w:val="000000"/>
          <w:lang w:val="es-CO"/>
        </w:rPr>
        <w:t>el cual quedará así:</w:t>
      </w:r>
    </w:p>
    <w:p w14:paraId="0FF9952F" w14:textId="2020DA38" w:rsidR="00E5653D" w:rsidRDefault="00E5653D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Parágrafo transitorio. </w:t>
      </w:r>
      <w:r w:rsidR="00CA6586">
        <w:rPr>
          <w:rFonts w:ascii="Times New Roman" w:eastAsia="Times New Roman" w:hAnsi="Times New Roman" w:cs="Times New Roman"/>
          <w:color w:val="000000"/>
          <w:lang w:val="es-CO"/>
        </w:rPr>
        <w:t xml:space="preserve">Las personas jurídicas que </w:t>
      </w:r>
      <w:r w:rsidR="00E858D2">
        <w:rPr>
          <w:rFonts w:ascii="Times New Roman" w:eastAsia="Times New Roman" w:hAnsi="Times New Roman" w:cs="Times New Roman"/>
          <w:color w:val="000000"/>
          <w:lang w:val="es-CO"/>
        </w:rPr>
        <w:t xml:space="preserve">tengan clasificación de MIPYME y las personas naturales </w:t>
      </w:r>
      <w:r w:rsidR="00E730ED">
        <w:rPr>
          <w:rFonts w:ascii="Times New Roman" w:eastAsia="Times New Roman" w:hAnsi="Times New Roman" w:cs="Times New Roman"/>
          <w:color w:val="000000"/>
          <w:lang w:val="es-CO"/>
        </w:rPr>
        <w:t>de las que estas sean socios</w:t>
      </w:r>
      <w:r w:rsidR="00C713FE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AD6EB1">
        <w:rPr>
          <w:rFonts w:ascii="Times New Roman" w:eastAsia="Times New Roman" w:hAnsi="Times New Roman" w:cs="Times New Roman"/>
          <w:color w:val="000000"/>
          <w:lang w:val="es-CO"/>
        </w:rPr>
        <w:t>que</w:t>
      </w:r>
      <w:r w:rsidR="00E730ED">
        <w:rPr>
          <w:rFonts w:ascii="Times New Roman" w:eastAsia="Times New Roman" w:hAnsi="Times New Roman" w:cs="Times New Roman"/>
          <w:color w:val="000000"/>
          <w:lang w:val="es-CO"/>
        </w:rPr>
        <w:t xml:space="preserve"> tengan reportes negativos por valores inferiores </w:t>
      </w:r>
      <w:r w:rsidR="003764DB">
        <w:rPr>
          <w:rFonts w:ascii="Times New Roman" w:eastAsia="Times New Roman" w:hAnsi="Times New Roman" w:cs="Times New Roman"/>
          <w:color w:val="000000"/>
          <w:lang w:val="es-CO"/>
        </w:rPr>
        <w:t xml:space="preserve">al </w:t>
      </w:r>
      <w:r w:rsidR="00DB7DE1">
        <w:rPr>
          <w:rFonts w:ascii="Times New Roman" w:eastAsia="Times New Roman" w:hAnsi="Times New Roman" w:cs="Times New Roman"/>
          <w:color w:val="000000"/>
          <w:lang w:val="es-CO"/>
        </w:rPr>
        <w:t>2</w:t>
      </w:r>
      <w:r w:rsidR="003764DB">
        <w:rPr>
          <w:rFonts w:ascii="Times New Roman" w:eastAsia="Times New Roman" w:hAnsi="Times New Roman" w:cs="Times New Roman"/>
          <w:color w:val="000000"/>
          <w:lang w:val="es-CO"/>
        </w:rPr>
        <w:t xml:space="preserve">% de su </w:t>
      </w:r>
      <w:r w:rsidR="00AD6EB1">
        <w:rPr>
          <w:rFonts w:ascii="Times New Roman" w:eastAsia="Times New Roman" w:hAnsi="Times New Roman" w:cs="Times New Roman"/>
          <w:color w:val="000000"/>
          <w:lang w:val="es-CO"/>
        </w:rPr>
        <w:t xml:space="preserve">patrimonio registrado en Cámara de comercio </w:t>
      </w:r>
      <w:r w:rsidR="00093DC8">
        <w:rPr>
          <w:rFonts w:ascii="Times New Roman" w:eastAsia="Times New Roman" w:hAnsi="Times New Roman" w:cs="Times New Roman"/>
          <w:color w:val="000000"/>
          <w:lang w:val="es-CO"/>
        </w:rPr>
        <w:t xml:space="preserve">podrán solicitar el retiro del reporte negativo por un término máximo de 6 meses siempre que esté reporte no sea </w:t>
      </w:r>
      <w:r w:rsidR="006D6655">
        <w:rPr>
          <w:rFonts w:ascii="Times New Roman" w:eastAsia="Times New Roman" w:hAnsi="Times New Roman" w:cs="Times New Roman"/>
          <w:color w:val="000000"/>
          <w:lang w:val="es-CO"/>
        </w:rPr>
        <w:t>anterior al 25 de febrero del 2020</w:t>
      </w:r>
      <w:r w:rsidR="00DB7DE1">
        <w:rPr>
          <w:rFonts w:ascii="Times New Roman" w:eastAsia="Times New Roman" w:hAnsi="Times New Roman" w:cs="Times New Roman"/>
          <w:color w:val="000000"/>
          <w:lang w:val="es-CO"/>
        </w:rPr>
        <w:t>. Los operadores de la información deberán proceder con el retiro del reporte de la manera más pronta.</w:t>
      </w:r>
      <w:r w:rsidR="00470194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037143">
        <w:rPr>
          <w:rFonts w:ascii="Times New Roman" w:eastAsia="Times New Roman" w:hAnsi="Times New Roman" w:cs="Times New Roman"/>
          <w:color w:val="000000"/>
          <w:lang w:val="es-CO"/>
        </w:rPr>
        <w:t xml:space="preserve">Para las personas naturales socias de estas empresas </w:t>
      </w:r>
      <w:r w:rsidR="00191443">
        <w:rPr>
          <w:rFonts w:ascii="Times New Roman" w:eastAsia="Times New Roman" w:hAnsi="Times New Roman" w:cs="Times New Roman"/>
          <w:color w:val="000000"/>
          <w:lang w:val="es-CO"/>
        </w:rPr>
        <w:t xml:space="preserve">procederá la suspensión del reporte siempre que esté haya sido ocasionado por deudas que tengan que ver con el funcionamiento de la empresa </w:t>
      </w:r>
      <w:r w:rsidR="00D35490">
        <w:rPr>
          <w:rFonts w:ascii="Times New Roman" w:eastAsia="Times New Roman" w:hAnsi="Times New Roman" w:cs="Times New Roman"/>
          <w:color w:val="000000"/>
          <w:lang w:val="es-CO"/>
        </w:rPr>
        <w:t>de la que son socios.</w:t>
      </w:r>
    </w:p>
    <w:p w14:paraId="27604972" w14:textId="23849262" w:rsidR="00D35490" w:rsidRDefault="00D35490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color w:val="000000"/>
          <w:lang w:val="es-CO"/>
        </w:rPr>
        <w:t xml:space="preserve">Al mismo beneficio del inciso anterior estarán sujetos los pequeños y medianos </w:t>
      </w:r>
      <w:r w:rsidR="0086698A">
        <w:rPr>
          <w:rFonts w:ascii="Times New Roman" w:eastAsia="Times New Roman" w:hAnsi="Times New Roman" w:cs="Times New Roman"/>
          <w:color w:val="000000"/>
          <w:lang w:val="es-CO"/>
        </w:rPr>
        <w:t>campesinos cuyo reporte negativo sea por deudas inferiores a los 4 salarios mínimos legales mensuales vigentes</w:t>
      </w:r>
      <w:r w:rsidR="001B1925">
        <w:rPr>
          <w:rFonts w:ascii="Times New Roman" w:eastAsia="Times New Roman" w:hAnsi="Times New Roman" w:cs="Times New Roman"/>
          <w:color w:val="000000"/>
          <w:lang w:val="es-CO"/>
        </w:rPr>
        <w:t xml:space="preserve">. </w:t>
      </w:r>
      <w:proofErr w:type="gramStart"/>
      <w:r w:rsidR="008167D8">
        <w:rPr>
          <w:rFonts w:ascii="Times New Roman" w:eastAsia="Times New Roman" w:hAnsi="Times New Roman" w:cs="Times New Roman"/>
          <w:color w:val="000000"/>
          <w:lang w:val="es-CO"/>
        </w:rPr>
        <w:t>La  condición</w:t>
      </w:r>
      <w:proofErr w:type="gramEnd"/>
      <w:r w:rsidR="008167D8">
        <w:rPr>
          <w:rFonts w:ascii="Times New Roman" w:eastAsia="Times New Roman" w:hAnsi="Times New Roman" w:cs="Times New Roman"/>
          <w:color w:val="000000"/>
          <w:lang w:val="es-CO"/>
        </w:rPr>
        <w:t xml:space="preserve"> de campesino se acreditará con prueba sumaria y no podrán exigir requisitos extra los operadores de información </w:t>
      </w:r>
      <w:r w:rsidR="00C13919">
        <w:rPr>
          <w:rFonts w:ascii="Times New Roman" w:eastAsia="Times New Roman" w:hAnsi="Times New Roman" w:cs="Times New Roman"/>
          <w:color w:val="000000"/>
          <w:lang w:val="es-CO"/>
        </w:rPr>
        <w:t>para la suspensión del reporte.</w:t>
      </w:r>
    </w:p>
    <w:p w14:paraId="2FF07F96" w14:textId="385B69FF" w:rsidR="00C13919" w:rsidRDefault="00C13919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79E64660" w14:textId="77777777" w:rsidR="00225A3C" w:rsidRDefault="00C13919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color w:val="000000"/>
          <w:lang w:val="es-CO"/>
        </w:rPr>
        <w:t>Sin otro particular,</w:t>
      </w:r>
    </w:p>
    <w:p w14:paraId="74585338" w14:textId="77777777" w:rsidR="00225A3C" w:rsidRDefault="00225A3C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7BB7FAA1" w14:textId="1226C4CB" w:rsidR="000E5002" w:rsidRDefault="00225A3C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 w:rsidRPr="00DC70A2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63F6492" wp14:editId="56481294">
            <wp:simplePos x="0" y="0"/>
            <wp:positionH relativeFrom="column">
              <wp:posOffset>1760220</wp:posOffset>
            </wp:positionH>
            <wp:positionV relativeFrom="paragraph">
              <wp:posOffset>36195</wp:posOffset>
            </wp:positionV>
            <wp:extent cx="2154555" cy="563880"/>
            <wp:effectExtent l="0" t="0" r="0" b="762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E5644B" w14:textId="4CB5FC0B" w:rsidR="00C13919" w:rsidRDefault="000E5002" w:rsidP="00C13919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EDWARD DAVID RODRÍGUEZ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RODRÍGUEZ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 </w:t>
      </w:r>
    </w:p>
    <w:p w14:paraId="7C931BDE" w14:textId="6C2925BC" w:rsidR="000E5002" w:rsidRPr="000E5002" w:rsidRDefault="000E5002" w:rsidP="00C13919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REPRESENTANTE A LA CÁMARA POR BOGOTÁ D.C.</w:t>
      </w:r>
    </w:p>
    <w:p w14:paraId="5C3FE4C0" w14:textId="77777777" w:rsidR="00DB7DE1" w:rsidRPr="00CA6586" w:rsidRDefault="00DB7DE1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064AF0A2" w14:textId="77777777" w:rsidR="001A36F6" w:rsidRPr="001A36F6" w:rsidRDefault="001A36F6" w:rsidP="001A36F6">
      <w:pPr>
        <w:spacing w:after="240"/>
        <w:jc w:val="both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</w:p>
    <w:sectPr w:rsidR="001A36F6" w:rsidRPr="001A36F6">
      <w:headerReference w:type="default" r:id="rId9"/>
      <w:footerReference w:type="default" r:id="rId10"/>
      <w:pgSz w:w="12240" w:h="15840"/>
      <w:pgMar w:top="1417" w:right="1701" w:bottom="1417" w:left="1701" w:header="695" w:footer="10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69948" w14:textId="77777777" w:rsidR="007A66A8" w:rsidRDefault="007A66A8">
      <w:r>
        <w:separator/>
      </w:r>
    </w:p>
  </w:endnote>
  <w:endnote w:type="continuationSeparator" w:id="0">
    <w:p w14:paraId="451901FD" w14:textId="77777777" w:rsidR="007A66A8" w:rsidRDefault="007A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Arimo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3F9E7" w14:textId="77777777" w:rsidR="002B7EA6" w:rsidRPr="00515AD3" w:rsidRDefault="002B7EA6" w:rsidP="00515AD3">
    <w:pPr>
      <w:spacing w:after="200" w:line="276" w:lineRule="auto"/>
      <w:rPr>
        <w:rFonts w:ascii="Calibri" w:eastAsia="Calibri" w:hAnsi="Calibri" w:cs="Times New Roman"/>
        <w:lang w:val="es-ES"/>
      </w:rPr>
    </w:pPr>
  </w:p>
  <w:p w14:paraId="140718F8" w14:textId="77777777" w:rsidR="002B7EA6" w:rsidRPr="00515AD3" w:rsidRDefault="002B7EA6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 xml:space="preserve"> Honorable Representante Edward David Rodríguez </w:t>
    </w:r>
    <w:proofErr w:type="spellStart"/>
    <w:r w:rsidRPr="00515AD3">
      <w:rPr>
        <w:rFonts w:ascii="Arial Narrow" w:eastAsia="Calibri" w:hAnsi="Arial Narrow" w:cs="Times New Roman"/>
        <w:sz w:val="16"/>
        <w:szCs w:val="16"/>
        <w:lang w:val="es-ES"/>
      </w:rPr>
      <w:t>Rodríguez</w:t>
    </w:r>
    <w:proofErr w:type="spellEnd"/>
    <w:r w:rsidRPr="00515AD3">
      <w:rPr>
        <w:rFonts w:ascii="Arial Narrow" w:eastAsia="Calibri" w:hAnsi="Arial Narrow" w:cs="Times New Roman"/>
        <w:sz w:val="16"/>
        <w:szCs w:val="16"/>
        <w:lang w:val="es-ES"/>
      </w:rPr>
      <w:t>.</w:t>
    </w:r>
  </w:p>
  <w:p w14:paraId="6F5593EB" w14:textId="77777777" w:rsidR="002B7EA6" w:rsidRPr="00515AD3" w:rsidRDefault="002B7EA6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Cámara de Representantes</w:t>
    </w:r>
  </w:p>
  <w:p w14:paraId="23E0ED2D" w14:textId="0DCEA6C7" w:rsidR="002B7EA6" w:rsidRPr="00515AD3" w:rsidRDefault="002B7EA6" w:rsidP="00515AD3">
    <w:pPr>
      <w:tabs>
        <w:tab w:val="center" w:pos="4419"/>
        <w:tab w:val="right" w:pos="8838"/>
      </w:tabs>
      <w:jc w:val="center"/>
      <w:rPr>
        <w:rFonts w:ascii="Calibri" w:eastAsia="Calibri" w:hAnsi="Calibri" w:cs="Times New Roman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Carrera 7 No 8-68, oficina 435 B Tel:  3823793- 3824433- Fax:3823794 Email: edrcamara@gmail.com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DDA73" w14:textId="77777777" w:rsidR="007A66A8" w:rsidRDefault="007A66A8">
      <w:r>
        <w:separator/>
      </w:r>
    </w:p>
  </w:footnote>
  <w:footnote w:type="continuationSeparator" w:id="0">
    <w:p w14:paraId="6ED643CE" w14:textId="77777777" w:rsidR="007A66A8" w:rsidRDefault="007A6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CDD23" w14:textId="279DCC99" w:rsidR="002B7EA6" w:rsidRDefault="002B7EA6" w:rsidP="00515A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76E31BB" wp14:editId="64B9FA87">
          <wp:extent cx="2487295" cy="768350"/>
          <wp:effectExtent l="0" t="0" r="825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</w:t>
    </w:r>
    <w:r>
      <w:rPr>
        <w:noProof/>
        <w:color w:val="000000"/>
      </w:rPr>
      <w:drawing>
        <wp:inline distT="0" distB="0" distL="0" distR="0" wp14:anchorId="4E65C2D5" wp14:editId="06BCE75A">
          <wp:extent cx="2121535" cy="6946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65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284258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91D5943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F345E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CD683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0BA6B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190D3D2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1BF24619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E2A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133696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239F541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27F04B5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28877D3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1442F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B33533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450A5530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9A624D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4A9033D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D767B7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4F1816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51642CB0"/>
    <w:multiLevelType w:val="multilevel"/>
    <w:tmpl w:val="FFFFFFFF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60A3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2" w15:restartNumberingAfterBreak="0">
    <w:nsid w:val="59710B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5AC27F5C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CD107F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5E47200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6" w15:restartNumberingAfterBreak="0">
    <w:nsid w:val="742030D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76D9373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77C227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78A63C4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>
    <w:abstractNumId w:val="10"/>
  </w:num>
  <w:num w:numId="2">
    <w:abstractNumId w:val="23"/>
  </w:num>
  <w:num w:numId="3">
    <w:abstractNumId w:val="15"/>
  </w:num>
  <w:num w:numId="4">
    <w:abstractNumId w:val="18"/>
  </w:num>
  <w:num w:numId="5">
    <w:abstractNumId w:val="2"/>
  </w:num>
  <w:num w:numId="6">
    <w:abstractNumId w:val="13"/>
  </w:num>
  <w:num w:numId="7">
    <w:abstractNumId w:val="3"/>
  </w:num>
  <w:num w:numId="8">
    <w:abstractNumId w:val="11"/>
  </w:num>
  <w:num w:numId="9">
    <w:abstractNumId w:val="0"/>
  </w:num>
  <w:num w:numId="10">
    <w:abstractNumId w:val="7"/>
  </w:num>
  <w:num w:numId="11">
    <w:abstractNumId w:val="25"/>
  </w:num>
  <w:num w:numId="12">
    <w:abstractNumId w:val="8"/>
  </w:num>
  <w:num w:numId="13">
    <w:abstractNumId w:val="12"/>
  </w:num>
  <w:num w:numId="14">
    <w:abstractNumId w:val="20"/>
  </w:num>
  <w:num w:numId="15">
    <w:abstractNumId w:val="9"/>
  </w:num>
  <w:num w:numId="16">
    <w:abstractNumId w:val="26"/>
  </w:num>
  <w:num w:numId="17">
    <w:abstractNumId w:val="24"/>
  </w:num>
  <w:num w:numId="18">
    <w:abstractNumId w:val="5"/>
  </w:num>
  <w:num w:numId="19">
    <w:abstractNumId w:val="19"/>
  </w:num>
  <w:num w:numId="20">
    <w:abstractNumId w:val="14"/>
  </w:num>
  <w:num w:numId="21">
    <w:abstractNumId w:val="17"/>
  </w:num>
  <w:num w:numId="22">
    <w:abstractNumId w:val="28"/>
  </w:num>
  <w:num w:numId="23">
    <w:abstractNumId w:val="22"/>
  </w:num>
  <w:num w:numId="24">
    <w:abstractNumId w:val="21"/>
  </w:num>
  <w:num w:numId="25">
    <w:abstractNumId w:val="4"/>
  </w:num>
  <w:num w:numId="26">
    <w:abstractNumId w:val="16"/>
  </w:num>
  <w:num w:numId="27">
    <w:abstractNumId w:val="27"/>
  </w:num>
  <w:num w:numId="28">
    <w:abstractNumId w:val="1"/>
  </w:num>
  <w:num w:numId="29">
    <w:abstractNumId w:val="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77"/>
    <w:rsid w:val="00022DF3"/>
    <w:rsid w:val="00037143"/>
    <w:rsid w:val="000404EC"/>
    <w:rsid w:val="00093DC8"/>
    <w:rsid w:val="000B6C92"/>
    <w:rsid w:val="000E5002"/>
    <w:rsid w:val="000F216F"/>
    <w:rsid w:val="00164909"/>
    <w:rsid w:val="00191443"/>
    <w:rsid w:val="001A36F6"/>
    <w:rsid w:val="001B1925"/>
    <w:rsid w:val="001E42F0"/>
    <w:rsid w:val="00206DB0"/>
    <w:rsid w:val="00225A3C"/>
    <w:rsid w:val="002344B5"/>
    <w:rsid w:val="002A7C75"/>
    <w:rsid w:val="002B7EA6"/>
    <w:rsid w:val="002E7F2C"/>
    <w:rsid w:val="003764DB"/>
    <w:rsid w:val="004017F7"/>
    <w:rsid w:val="00426BD8"/>
    <w:rsid w:val="00456D92"/>
    <w:rsid w:val="00461252"/>
    <w:rsid w:val="00470194"/>
    <w:rsid w:val="004B2B21"/>
    <w:rsid w:val="004D797B"/>
    <w:rsid w:val="00515AD3"/>
    <w:rsid w:val="005B4273"/>
    <w:rsid w:val="005C584C"/>
    <w:rsid w:val="00621D7E"/>
    <w:rsid w:val="006974D2"/>
    <w:rsid w:val="006D6655"/>
    <w:rsid w:val="0070785A"/>
    <w:rsid w:val="007A66A8"/>
    <w:rsid w:val="007B1059"/>
    <w:rsid w:val="007D6445"/>
    <w:rsid w:val="008167D8"/>
    <w:rsid w:val="00823F98"/>
    <w:rsid w:val="0083695B"/>
    <w:rsid w:val="0086698A"/>
    <w:rsid w:val="00877A66"/>
    <w:rsid w:val="008A02FC"/>
    <w:rsid w:val="008F3977"/>
    <w:rsid w:val="00904233"/>
    <w:rsid w:val="00984F62"/>
    <w:rsid w:val="009A636D"/>
    <w:rsid w:val="00A31675"/>
    <w:rsid w:val="00A7392B"/>
    <w:rsid w:val="00AD6EB1"/>
    <w:rsid w:val="00AF011D"/>
    <w:rsid w:val="00B32C0E"/>
    <w:rsid w:val="00C13919"/>
    <w:rsid w:val="00C713FE"/>
    <w:rsid w:val="00CA6586"/>
    <w:rsid w:val="00CF32DD"/>
    <w:rsid w:val="00D35490"/>
    <w:rsid w:val="00DB053C"/>
    <w:rsid w:val="00DB7DE1"/>
    <w:rsid w:val="00E13DA9"/>
    <w:rsid w:val="00E3672D"/>
    <w:rsid w:val="00E5653D"/>
    <w:rsid w:val="00E730ED"/>
    <w:rsid w:val="00E858D2"/>
    <w:rsid w:val="00E93F89"/>
    <w:rsid w:val="00F64742"/>
    <w:rsid w:val="00FD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22AAF9"/>
  <w15:docId w15:val="{9D02CF03-D7D4-0147-A352-E6E24330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Century Gothic" w:hAnsi="Century Gothic" w:cs="Century Gothic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color w:val="A5A5A5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200"/>
      <w:outlineLvl w:val="1"/>
    </w:pPr>
    <w:rPr>
      <w:b/>
      <w:color w:val="DDDDDD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00"/>
      <w:outlineLvl w:val="2"/>
    </w:pPr>
    <w:rPr>
      <w:b/>
      <w:color w:val="DDDDD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b/>
      <w:i/>
      <w:color w:val="DDDDDD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color w:val="6E6E6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i/>
      <w:color w:val="6E6E6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pBdr>
        <w:bottom w:val="single" w:sz="8" w:space="4" w:color="DDDDDD"/>
      </w:pBdr>
      <w:spacing w:after="300"/>
    </w:pPr>
    <w:rPr>
      <w:color w:val="000000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Pr>
      <w:i/>
      <w:color w:val="DDDDDD"/>
      <w:sz w:val="24"/>
      <w:szCs w:val="24"/>
    </w:rPr>
  </w:style>
  <w:style w:type="table" w:customStyle="1" w:styleId="a">
    <w:basedOn w:val="Tablanormal"/>
    <w:tblPr>
      <w:tblStyleRowBandSize w:val="1"/>
      <w:tblStyleColBandSize w:val="1"/>
    </w:tblPr>
  </w:style>
  <w:style w:type="table" w:customStyle="1" w:styleId="a0">
    <w:basedOn w:val="Tablanormal"/>
    <w:tblPr>
      <w:tblStyleRowBandSize w:val="1"/>
      <w:tblStyleColBandSize w:val="1"/>
    </w:tblPr>
  </w:style>
  <w:style w:type="table" w:customStyle="1" w:styleId="a1">
    <w:basedOn w:val="Tablanormal"/>
    <w:tblPr>
      <w:tblStyleRowBandSize w:val="1"/>
      <w:tblStyleColBandSize w:val="1"/>
    </w:tblPr>
  </w:style>
  <w:style w:type="table" w:customStyle="1" w:styleId="a2">
    <w:basedOn w:val="Tablanormal"/>
    <w:tblPr>
      <w:tblStyleRowBandSize w:val="1"/>
      <w:tblStyleColBandSize w:val="1"/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B6C9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C9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15A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5AD3"/>
  </w:style>
  <w:style w:type="paragraph" w:styleId="Piedepgina">
    <w:name w:val="footer"/>
    <w:basedOn w:val="Normal"/>
    <w:link w:val="PiedepginaCar"/>
    <w:uiPriority w:val="99"/>
    <w:unhideWhenUsed/>
    <w:rsid w:val="00515A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5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71037-BFB5-45ED-A436-601A085A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Navas H</dc:creator>
  <cp:lastModifiedBy>Paola Santos</cp:lastModifiedBy>
  <cp:revision>2</cp:revision>
  <dcterms:created xsi:type="dcterms:W3CDTF">2020-04-30T13:36:00Z</dcterms:created>
  <dcterms:modified xsi:type="dcterms:W3CDTF">2020-04-30T13:36:00Z</dcterms:modified>
</cp:coreProperties>
</file>